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i w:val="0"/>
          <w:color w:val="008851"/>
          <w:sz w:val="52"/>
        </w:rPr>
        <w:t>AI Acceptable Use Policy</w:t>
      </w:r>
    </w:p>
    <w:p>
      <w:pPr>
        <w:spacing w:after="280"/>
      </w:pPr>
      <w:r>
        <w:rPr>
          <w:b/>
          <w:i w:val="0"/>
          <w:sz w:val="28"/>
        </w:rPr>
        <w:t>[FIRM NAME]</w:t>
      </w:r>
    </w:p>
    <w:tbl>
      <w:tblPr>
        <w:tblStyle w:val="TableGrid"/>
        <w:tblW w:type="auto" w:w="0"/>
        <w:jc w:val="left"/>
        <w:tblLook w:firstColumn="1" w:firstRow="1" w:lastColumn="0" w:lastRow="0" w:noHBand="0" w:noVBand="1" w:val="04A0"/>
      </w:tblPr>
      <w:tblGrid>
        <w:gridCol w:w="2160"/>
        <w:gridCol w:w="7200"/>
      </w:tblGrid>
      <w:tr>
        <w:tc>
          <w:tcPr>
            <w:tcW w:type="dxa" w:w="4680"/>
            <w:shd w:val="clear" w:fill="F2F6FA"/>
          </w:tcPr>
          <w:p>
            <w:pPr>
              <w:spacing w:after="40"/>
            </w:pPr>
            <w:r>
              <w:rPr>
                <w:sz w:val="20"/>
              </w:rPr>
            </w:r>
            <w:r>
              <w:rPr>
                <w:b/>
                <w:sz w:val="20"/>
              </w:rPr>
              <w:t>Effective date</w:t>
            </w:r>
          </w:p>
        </w:tc>
        <w:tc>
          <w:tcPr>
            <w:tcW w:type="dxa" w:w="4680"/>
          </w:tcPr>
          <w:p>
            <w:pPr>
              <w:spacing w:after="40"/>
            </w:pPr>
            <w:r>
              <w:rPr>
                <w:sz w:val="20"/>
              </w:rPr>
              <w:t>[DATE]</w:t>
            </w:r>
          </w:p>
        </w:tc>
      </w:tr>
      <w:tr>
        <w:tc>
          <w:tcPr>
            <w:tcW w:type="dxa" w:w="4680"/>
            <w:shd w:val="clear" w:fill="F2F6FA"/>
          </w:tcPr>
          <w:p>
            <w:pPr>
              <w:spacing w:after="40"/>
            </w:pPr>
            <w:r>
              <w:rPr>
                <w:sz w:val="20"/>
              </w:rPr>
            </w:r>
            <w:r>
              <w:rPr>
                <w:b/>
                <w:sz w:val="20"/>
              </w:rPr>
              <w:t>Policy owner</w:t>
            </w:r>
          </w:p>
        </w:tc>
        <w:tc>
          <w:tcPr>
            <w:tcW w:type="dxa" w:w="4680"/>
          </w:tcPr>
          <w:p>
            <w:pPr>
              <w:spacing w:after="40"/>
            </w:pPr>
            <w:r>
              <w:rPr>
                <w:sz w:val="20"/>
              </w:rPr>
              <w:t>[NAME, TITLE]  (the person who approves tools and receives reports)</w:t>
            </w:r>
          </w:p>
        </w:tc>
      </w:tr>
      <w:tr>
        <w:tc>
          <w:tcPr>
            <w:tcW w:type="dxa" w:w="4680"/>
            <w:shd w:val="clear" w:fill="F2F6FA"/>
          </w:tcPr>
          <w:p>
            <w:pPr>
              <w:spacing w:after="40"/>
            </w:pPr>
            <w:r>
              <w:rPr>
                <w:sz w:val="20"/>
              </w:rPr>
            </w:r>
            <w:r>
              <w:rPr>
                <w:b/>
                <w:sz w:val="20"/>
              </w:rPr>
              <w:t>Approved by</w:t>
            </w:r>
          </w:p>
        </w:tc>
        <w:tc>
          <w:tcPr>
            <w:tcW w:type="dxa" w:w="4680"/>
          </w:tcPr>
          <w:p>
            <w:pPr>
              <w:spacing w:after="40"/>
            </w:pPr>
            <w:r>
              <w:rPr>
                <w:sz w:val="20"/>
              </w:rPr>
              <w:t>[NAME, TITLE]</w:t>
            </w:r>
          </w:p>
        </w:tc>
      </w:tr>
      <w:tr>
        <w:tc>
          <w:tcPr>
            <w:tcW w:type="dxa" w:w="4680"/>
            <w:shd w:val="clear" w:fill="F2F6FA"/>
          </w:tcPr>
          <w:p>
            <w:pPr>
              <w:spacing w:after="40"/>
            </w:pPr>
            <w:r>
              <w:rPr>
                <w:sz w:val="20"/>
              </w:rPr>
            </w:r>
            <w:r>
              <w:rPr>
                <w:b/>
                <w:sz w:val="20"/>
              </w:rPr>
              <w:t>Version</w:t>
            </w:r>
          </w:p>
        </w:tc>
        <w:tc>
          <w:tcPr>
            <w:tcW w:type="dxa" w:w="4680"/>
          </w:tcPr>
          <w:p>
            <w:pPr>
              <w:spacing w:after="40"/>
            </w:pPr>
            <w:r>
              <w:rPr>
                <w:sz w:val="20"/>
              </w:rPr>
              <w:t>1.0</w:t>
            </w:r>
          </w:p>
        </w:tc>
      </w:tr>
      <w:tr>
        <w:tc>
          <w:tcPr>
            <w:tcW w:type="dxa" w:w="4680"/>
            <w:shd w:val="clear" w:fill="F2F6FA"/>
          </w:tcPr>
          <w:p>
            <w:pPr>
              <w:spacing w:after="40"/>
            </w:pPr>
            <w:r>
              <w:rPr>
                <w:sz w:val="20"/>
              </w:rPr>
            </w:r>
            <w:r>
              <w:rPr>
                <w:b/>
                <w:sz w:val="20"/>
              </w:rPr>
              <w:t>Next review</w:t>
            </w:r>
          </w:p>
        </w:tc>
        <w:tc>
          <w:tcPr>
            <w:tcW w:type="dxa" w:w="4680"/>
          </w:tcPr>
          <w:p>
            <w:pPr>
              <w:spacing w:after="40"/>
            </w:pPr>
            <w:r>
              <w:rPr>
                <w:sz w:val="20"/>
              </w:rPr>
              <w:t>[DATE, 12 months out is a reasonable default]</w:t>
            </w:r>
          </w:p>
        </w:tc>
      </w:tr>
    </w:tbl>
    <w:p>
      <w:pPr>
        <w:spacing w:after="120"/>
      </w:pPr>
    </w:p>
    <w:tbl>
      <w:tblPr>
        <w:tblStyle w:val="TableGrid"/>
        <w:tblW w:type="auto" w:w="0"/>
        <w:tblLook w:firstColumn="1" w:firstRow="1" w:lastColumn="0" w:lastRow="0" w:noHBand="0" w:noVBand="1" w:val="04A0"/>
      </w:tblPr>
      <w:tblGrid>
        <w:gridCol w:w="9360"/>
      </w:tblGrid>
      <w:tr>
        <w:tc>
          <w:tcPr>
            <w:tcW w:type="dxa" w:w="9360"/>
            <w:shd w:val="clear" w:fill="F2F6FA"/>
          </w:tcPr>
          <w:p>
            <w:pPr>
              <w:spacing w:after="40"/>
            </w:pPr>
            <w:r>
              <w:rPr>
                <w:sz w:val="20"/>
              </w:rPr>
            </w:r>
            <w:r>
              <w:rPr>
                <w:b/>
                <w:sz w:val="20"/>
              </w:rPr>
              <w:t xml:space="preserve">How to use this template. </w:t>
            </w:r>
            <w:r>
              <w:rPr>
                <w:sz w:val="20"/>
              </w:rPr>
              <w:t>Anything in square brackets is a decision your firm has to make. Start with Section 4 and Section 5: the approved-tools list and the restricted-data list are what make this policy yours rather than generic. Delete whatever does not apply to your practice, then have counsel or your compliance officer review the result before you adopt it. This document is general information, not legal advice.</w:t>
            </w:r>
          </w:p>
        </w:tc>
      </w:tr>
    </w:tbl>
    <w:p>
      <w:pPr>
        <w:pStyle w:val="Heading1"/>
      </w:pPr>
      <w:r>
        <w:t>1. Purpose</w:t>
      </w:r>
    </w:p>
    <w:p>
      <w:r>
        <w:rPr>
          <w:b w:val="0"/>
          <w:i w:val="0"/>
        </w:rPr>
        <w:t>This policy sets the rules for using artificial intelligence tools at [FIRM NAME]. It exists for three reasons: so staff can use AI productively, so client and firm information stays out of systems we do not control, and so the firm keeps the commitments it has already made in client agreements, professional obligations, and applicable law.</w:t>
      </w:r>
    </w:p>
    <w:p>
      <w:r>
        <w:rPr>
          <w:b w:val="0"/>
          <w:i w:val="0"/>
        </w:rPr>
        <w:t>This policy does not ban AI. It defines where AI is allowed, what may never go into it, and who is accountable for what comes out.</w:t>
      </w:r>
    </w:p>
    <w:p>
      <w:pPr>
        <w:pStyle w:val="Heading1"/>
      </w:pPr>
      <w:r>
        <w:t>2. Scope</w:t>
      </w:r>
    </w:p>
    <w:p>
      <w:r>
        <w:rPr>
          <w:b w:val="0"/>
          <w:i w:val="0"/>
        </w:rPr>
        <w:t>This policy applies to:</w:t>
      </w:r>
    </w:p>
    <w:p>
      <w:pPr>
        <w:pStyle w:val="ListBullet"/>
        <w:spacing w:after="80"/>
      </w:pPr>
      <w:r>
        <w:t>all partners, principals, employees, contractors, temporary staff, and interns of [FIRM NAME];</w:t>
      </w:r>
    </w:p>
    <w:p>
      <w:pPr>
        <w:pStyle w:val="ListBullet"/>
        <w:spacing w:after="80"/>
      </w:pPr>
      <w:r>
        <w:t>all use of AI tools for firm business, on firm-issued or personal devices, during or outside working hours; and</w:t>
      </w:r>
    </w:p>
    <w:p>
      <w:pPr>
        <w:pStyle w:val="ListBullet"/>
        <w:spacing w:after="80"/>
      </w:pPr>
      <w:r>
        <w:t>all firm data, client data, and firm accounts.</w:t>
      </w:r>
    </w:p>
    <w:p>
      <w:r>
        <w:rPr>
          <w:b w:val="0"/>
          <w:i w:val="0"/>
        </w:rPr>
        <w:t>It applies whether the tool is paid or free, whether it is a standalone product or a feature built into software the firm already uses, and whether the firm is aware of it or not.</w:t>
      </w:r>
    </w:p>
    <w:p>
      <w:pPr>
        <w:pStyle w:val="Heading1"/>
      </w:pPr>
      <w:r>
        <w:t>3. Definitions</w:t>
      </w:r>
    </w:p>
    <w:p>
      <w:r>
        <w:rPr>
          <w:b/>
          <w:i w:val="0"/>
        </w:rPr>
        <w:t xml:space="preserve">AI tool. </w:t>
      </w:r>
      <w:r>
        <w:rPr>
          <w:b w:val="0"/>
          <w:i w:val="0"/>
        </w:rPr>
        <w:t>Any software that uses machine learning or a large language model to generate text, code, images, audio, video, summaries, transcripts, predictions, or recommendations. This includes assistants built into products the firm already licenses.</w:t>
      </w:r>
    </w:p>
    <w:p>
      <w:r>
        <w:rPr>
          <w:b/>
          <w:i w:val="0"/>
        </w:rPr>
        <w:t xml:space="preserve">Generative AI. </w:t>
      </w:r>
      <w:r>
        <w:rPr>
          <w:b w:val="0"/>
          <w:i w:val="0"/>
        </w:rPr>
        <w:t>An AI tool that produces new content in response to a prompt.</w:t>
      </w:r>
    </w:p>
    <w:p>
      <w:r>
        <w:rPr>
          <w:b/>
          <w:i w:val="0"/>
        </w:rPr>
        <w:t xml:space="preserve">Enterprise account. </w:t>
      </w:r>
      <w:r>
        <w:rPr>
          <w:b w:val="0"/>
          <w:i w:val="0"/>
        </w:rPr>
        <w:t>An AI account provisioned, paid for, and administered by [FIRM NAME], where the firm controls the settings, the data handling, and who has access.</w:t>
      </w:r>
    </w:p>
    <w:p>
      <w:r>
        <w:rPr>
          <w:b/>
          <w:i w:val="0"/>
        </w:rPr>
        <w:t xml:space="preserve">Personal account. </w:t>
      </w:r>
      <w:r>
        <w:rPr>
          <w:b w:val="0"/>
          <w:i w:val="0"/>
        </w:rPr>
        <w:t>Any AI account a person signs up for themselves, including free tiers and personally paid subscriptions, regardless of which email address was used to register it.</w:t>
      </w:r>
    </w:p>
    <w:p>
      <w:r>
        <w:rPr>
          <w:b/>
          <w:i w:val="0"/>
        </w:rPr>
        <w:t xml:space="preserve">Input. </w:t>
      </w:r>
      <w:r>
        <w:rPr>
          <w:b w:val="0"/>
          <w:i w:val="0"/>
        </w:rPr>
        <w:t>Anything you type, paste, upload, dictate, or connect to an AI tool, including files, screenshots, transcripts, and mailbox or file-storage connections.</w:t>
      </w:r>
    </w:p>
    <w:p>
      <w:r>
        <w:rPr>
          <w:b/>
          <w:i w:val="0"/>
        </w:rPr>
        <w:t xml:space="preserve">Output. </w:t>
      </w:r>
      <w:r>
        <w:rPr>
          <w:b w:val="0"/>
          <w:i w:val="0"/>
        </w:rPr>
        <w:t>Anything the tool produces in response.</w:t>
      </w:r>
    </w:p>
    <w:p>
      <w:r>
        <w:rPr>
          <w:b/>
          <w:i w:val="0"/>
        </w:rPr>
        <w:t xml:space="preserve">Restricted data. </w:t>
      </w:r>
      <w:r>
        <w:rPr>
          <w:b w:val="0"/>
          <w:i w:val="0"/>
        </w:rPr>
        <w:t>The categories listed in Section 5.</w:t>
      </w:r>
    </w:p>
    <w:p>
      <w:pPr>
        <w:pStyle w:val="Heading1"/>
      </w:pPr>
      <w:r>
        <w:t>4. Approved AI tools</w:t>
      </w:r>
    </w:p>
    <w:p>
      <w:r>
        <w:rPr>
          <w:b w:val="0"/>
          <w:i w:val="0"/>
        </w:rPr>
        <w:t>Only tools on the list below may be used for firm business. [POLICY OWNER] maintains the list and updates it as tools are reviewed under Section 10. If a tool is not on the list, treat it as not approved.</w:t>
      </w:r>
    </w:p>
    <w:tbl>
      <w:tblPr>
        <w:tblStyle w:val="TableGrid"/>
        <w:tblW w:type="auto" w:w="0"/>
        <w:tblLook w:firstColumn="1" w:firstRow="1" w:lastColumn="0" w:lastRow="0" w:noHBand="0" w:noVBand="1" w:val="04A0"/>
      </w:tblPr>
      <w:tblGrid>
        <w:gridCol w:w="2304"/>
        <w:gridCol w:w="1656"/>
        <w:gridCol w:w="3960"/>
        <w:gridCol w:w="1440"/>
      </w:tblGrid>
      <w:tr>
        <w:tc>
          <w:tcPr>
            <w:tcW w:type="dxa" w:w="2340"/>
            <w:shd w:val="clear" w:fill="E4EEE9"/>
          </w:tcPr>
          <w:p>
            <w:r/>
            <w:r>
              <w:rPr>
                <w:b/>
                <w:sz w:val="20"/>
              </w:rPr>
              <w:t>Tool</w:t>
            </w:r>
          </w:p>
        </w:tc>
        <w:tc>
          <w:tcPr>
            <w:tcW w:type="dxa" w:w="2340"/>
            <w:shd w:val="clear" w:fill="E4EEE9"/>
          </w:tcPr>
          <w:p>
            <w:r/>
            <w:r>
              <w:rPr>
                <w:b/>
                <w:sz w:val="20"/>
              </w:rPr>
              <w:t>Status</w:t>
            </w:r>
          </w:p>
        </w:tc>
        <w:tc>
          <w:tcPr>
            <w:tcW w:type="dxa" w:w="2340"/>
            <w:shd w:val="clear" w:fill="E4EEE9"/>
          </w:tcPr>
          <w:p>
            <w:r/>
            <w:r>
              <w:rPr>
                <w:b/>
                <w:sz w:val="20"/>
              </w:rPr>
              <w:t>Approved for</w:t>
            </w:r>
          </w:p>
        </w:tc>
        <w:tc>
          <w:tcPr>
            <w:tcW w:type="dxa" w:w="2340"/>
            <w:shd w:val="clear" w:fill="E4EEE9"/>
          </w:tcPr>
          <w:p>
            <w:r/>
            <w:r>
              <w:rPr>
                <w:b/>
                <w:sz w:val="20"/>
              </w:rPr>
              <w:t>Firm administered</w:t>
            </w:r>
          </w:p>
        </w:tc>
      </w:tr>
      <w:tr>
        <w:tc>
          <w:tcPr>
            <w:tcW w:type="dxa" w:w="2340"/>
          </w:tcPr>
          <w:p>
            <w:pPr>
              <w:spacing w:after="40"/>
            </w:pPr>
            <w:r/>
            <w:r>
              <w:rPr>
                <w:sz w:val="19"/>
              </w:rPr>
              <w:t>Microsoft 365 Copilot</w:t>
            </w:r>
          </w:p>
        </w:tc>
        <w:tc>
          <w:tcPr>
            <w:tcW w:type="dxa" w:w="2340"/>
          </w:tcPr>
          <w:p>
            <w:pPr>
              <w:spacing w:after="40"/>
            </w:pPr>
            <w:r/>
            <w:r>
              <w:rPr>
                <w:sz w:val="19"/>
              </w:rPr>
              <w:t>Approved</w:t>
            </w:r>
          </w:p>
        </w:tc>
        <w:tc>
          <w:tcPr>
            <w:tcW w:type="dxa" w:w="2340"/>
          </w:tcPr>
          <w:p>
            <w:pPr>
              <w:spacing w:after="40"/>
            </w:pPr>
            <w:r/>
            <w:r>
              <w:rPr>
                <w:sz w:val="19"/>
              </w:rPr>
              <w:t>Drafting, summarizing, and searching firm content the user already has permission to see</w:t>
            </w:r>
          </w:p>
        </w:tc>
        <w:tc>
          <w:tcPr>
            <w:tcW w:type="dxa" w:w="2340"/>
          </w:tcPr>
          <w:p>
            <w:pPr>
              <w:spacing w:after="40"/>
            </w:pPr>
            <w:r/>
            <w:r>
              <w:rPr>
                <w:sz w:val="19"/>
              </w:rPr>
              <w:t>Yes</w:t>
            </w:r>
          </w:p>
        </w:tc>
      </w:tr>
      <w:tr>
        <w:tc>
          <w:tcPr>
            <w:tcW w:type="dxa" w:w="2340"/>
          </w:tcPr>
          <w:p>
            <w:pPr>
              <w:spacing w:after="40"/>
            </w:pPr>
            <w:r/>
            <w:r>
              <w:rPr>
                <w:sz w:val="19"/>
              </w:rPr>
              <w:t>ChatGPT Enterprise or Team</w:t>
            </w:r>
          </w:p>
        </w:tc>
        <w:tc>
          <w:tcPr>
            <w:tcW w:type="dxa" w:w="2340"/>
          </w:tcPr>
          <w:p>
            <w:pPr>
              <w:spacing w:after="40"/>
            </w:pPr>
            <w:r/>
            <w:r>
              <w:rPr>
                <w:sz w:val="19"/>
              </w:rPr>
              <w:t>[Approved / Not approved]</w:t>
            </w:r>
          </w:p>
        </w:tc>
        <w:tc>
          <w:tcPr>
            <w:tcW w:type="dxa" w:w="2340"/>
          </w:tcPr>
          <w:p>
            <w:pPr>
              <w:spacing w:after="40"/>
            </w:pPr>
            <w:r/>
            <w:r>
              <w:rPr>
                <w:sz w:val="19"/>
              </w:rPr>
              <w:t>General drafting, research, and analysis. No client identifiers unless [POLICY OWNER] has cleared the matter</w:t>
            </w:r>
          </w:p>
        </w:tc>
        <w:tc>
          <w:tcPr>
            <w:tcW w:type="dxa" w:w="2340"/>
          </w:tcPr>
          <w:p>
            <w:pPr>
              <w:spacing w:after="40"/>
            </w:pPr>
            <w:r/>
            <w:r>
              <w:rPr>
                <w:sz w:val="19"/>
              </w:rPr>
              <w:t>Yes</w:t>
            </w:r>
          </w:p>
        </w:tc>
      </w:tr>
      <w:tr>
        <w:tc>
          <w:tcPr>
            <w:tcW w:type="dxa" w:w="2340"/>
          </w:tcPr>
          <w:p>
            <w:pPr>
              <w:spacing w:after="40"/>
            </w:pPr>
            <w:r/>
            <w:r>
              <w:rPr>
                <w:sz w:val="19"/>
              </w:rPr>
              <w:t>Claude Team or Enterprise</w:t>
            </w:r>
          </w:p>
        </w:tc>
        <w:tc>
          <w:tcPr>
            <w:tcW w:type="dxa" w:w="2340"/>
          </w:tcPr>
          <w:p>
            <w:pPr>
              <w:spacing w:after="40"/>
            </w:pPr>
            <w:r/>
            <w:r>
              <w:rPr>
                <w:sz w:val="19"/>
              </w:rPr>
              <w:t>[Approved / Not approved]</w:t>
            </w:r>
          </w:p>
        </w:tc>
        <w:tc>
          <w:tcPr>
            <w:tcW w:type="dxa" w:w="2340"/>
          </w:tcPr>
          <w:p>
            <w:pPr>
              <w:spacing w:after="40"/>
            </w:pPr>
            <w:r/>
            <w:r>
              <w:rPr>
                <w:sz w:val="19"/>
              </w:rPr>
              <w:t>General drafting, document review, and analysis</w:t>
            </w:r>
          </w:p>
        </w:tc>
        <w:tc>
          <w:tcPr>
            <w:tcW w:type="dxa" w:w="2340"/>
          </w:tcPr>
          <w:p>
            <w:pPr>
              <w:spacing w:after="40"/>
            </w:pPr>
            <w:r/>
            <w:r>
              <w:rPr>
                <w:sz w:val="19"/>
              </w:rPr>
              <w:t>Yes</w:t>
            </w:r>
          </w:p>
        </w:tc>
      </w:tr>
      <w:tr>
        <w:tc>
          <w:tcPr>
            <w:tcW w:type="dxa" w:w="2340"/>
          </w:tcPr>
          <w:p>
            <w:pPr>
              <w:spacing w:after="40"/>
            </w:pPr>
            <w:r/>
            <w:r>
              <w:rPr>
                <w:sz w:val="19"/>
              </w:rPr>
              <w:t>[Practice tool: tax research, e-discovery, CRM assistant, transcription]</w:t>
            </w:r>
          </w:p>
        </w:tc>
        <w:tc>
          <w:tcPr>
            <w:tcW w:type="dxa" w:w="2340"/>
          </w:tcPr>
          <w:p>
            <w:pPr>
              <w:spacing w:after="40"/>
            </w:pPr>
            <w:r/>
            <w:r>
              <w:rPr>
                <w:sz w:val="19"/>
              </w:rPr>
              <w:t>[Status]</w:t>
            </w:r>
          </w:p>
        </w:tc>
        <w:tc>
          <w:tcPr>
            <w:tcW w:type="dxa" w:w="2340"/>
          </w:tcPr>
          <w:p>
            <w:pPr>
              <w:spacing w:after="40"/>
            </w:pPr>
            <w:r/>
            <w:r>
              <w:rPr>
                <w:sz w:val="19"/>
              </w:rPr>
              <w:t>[Specific approved uses]</w:t>
            </w:r>
          </w:p>
        </w:tc>
        <w:tc>
          <w:tcPr>
            <w:tcW w:type="dxa" w:w="2340"/>
          </w:tcPr>
          <w:p>
            <w:pPr>
              <w:spacing w:after="40"/>
            </w:pPr>
            <w:r/>
            <w:r>
              <w:rPr>
                <w:sz w:val="19"/>
              </w:rPr>
              <w:t>[Yes / No]</w:t>
            </w:r>
          </w:p>
        </w:tc>
      </w:tr>
      <w:tr>
        <w:tc>
          <w:tcPr>
            <w:tcW w:type="dxa" w:w="2340"/>
          </w:tcPr>
          <w:p>
            <w:pPr>
              <w:spacing w:after="40"/>
            </w:pPr>
            <w:r/>
            <w:r>
              <w:rPr>
                <w:sz w:val="19"/>
              </w:rPr>
              <w:t>Consumer ChatGPT, Gemini, Claude.ai personal, Copilot Chat signed out, DeepSeek, and any other personal-account AI service</w:t>
            </w:r>
          </w:p>
        </w:tc>
        <w:tc>
          <w:tcPr>
            <w:tcW w:type="dxa" w:w="2340"/>
          </w:tcPr>
          <w:p>
            <w:pPr>
              <w:spacing w:after="40"/>
            </w:pPr>
            <w:r/>
            <w:r>
              <w:rPr>
                <w:sz w:val="19"/>
              </w:rPr>
              <w:t>Not approved</w:t>
            </w:r>
          </w:p>
        </w:tc>
        <w:tc>
          <w:tcPr>
            <w:tcW w:type="dxa" w:w="2340"/>
          </w:tcPr>
          <w:p>
            <w:pPr>
              <w:spacing w:after="40"/>
            </w:pPr>
            <w:r/>
            <w:r>
              <w:rPr>
                <w:sz w:val="19"/>
              </w:rPr>
              <w:t>No firm business use of any kind</w:t>
            </w:r>
          </w:p>
        </w:tc>
        <w:tc>
          <w:tcPr>
            <w:tcW w:type="dxa" w:w="2340"/>
          </w:tcPr>
          <w:p>
            <w:pPr>
              <w:spacing w:after="40"/>
            </w:pPr>
            <w:r/>
            <w:r>
              <w:rPr>
                <w:sz w:val="19"/>
              </w:rPr>
              <w:t>No</w:t>
            </w:r>
          </w:p>
        </w:tc>
      </w:tr>
    </w:tbl>
    <w:p>
      <w:pPr>
        <w:spacing w:after="40"/>
      </w:pPr>
    </w:p>
    <w:p>
      <w:r>
        <w:rPr>
          <w:b/>
          <w:i w:val="0"/>
        </w:rPr>
        <w:t xml:space="preserve">The brand is not the approval. </w:t>
      </w:r>
      <w:r>
        <w:rPr>
          <w:b w:val="0"/>
          <w:i w:val="0"/>
        </w:rPr>
        <w:t>An enterprise account the firm administers is a different product from the consumer version with the same name, with different data-handling terms. Approval attaches to the specific firm-administered account, not to the vendor.</w:t>
      </w:r>
    </w:p>
    <w:p>
      <w:pPr>
        <w:pStyle w:val="Heading1"/>
      </w:pPr>
      <w:r>
        <w:t>5. Data that must not go into an AI tool</w:t>
      </w:r>
    </w:p>
    <w:p>
      <w:r>
        <w:rPr>
          <w:b w:val="0"/>
          <w:i w:val="0"/>
        </w:rPr>
        <w:t>Never enter any of the following into a tool that is not on the approved list. Do not enter them into an approved tool either unless the approved use in Section 4 covers it.</w:t>
      </w:r>
    </w:p>
    <w:p>
      <w:pPr>
        <w:pStyle w:val="ListBullet"/>
        <w:spacing w:after="80"/>
      </w:pPr>
      <w:r>
        <w:t>Social Security numbers, EINs, ITINs, passport numbers, and driver license numbers.</w:t>
      </w:r>
    </w:p>
    <w:p>
      <w:pPr>
        <w:pStyle w:val="ListBullet"/>
        <w:spacing w:after="80"/>
      </w:pPr>
      <w:r>
        <w:t>Tax returns, W-2s, 1099s, K-1s, and supporting workpapers.</w:t>
      </w:r>
    </w:p>
    <w:p>
      <w:pPr>
        <w:pStyle w:val="ListBullet"/>
        <w:spacing w:after="80"/>
      </w:pPr>
      <w:r>
        <w:t>Financial statements, account numbers, balances, and transaction detail.</w:t>
      </w:r>
    </w:p>
    <w:p>
      <w:pPr>
        <w:pStyle w:val="ListBullet"/>
        <w:spacing w:after="80"/>
      </w:pPr>
      <w:r>
        <w:t>Client names, matter names, deal names, and any combination of facts that identifies a client.</w:t>
      </w:r>
    </w:p>
    <w:p>
      <w:pPr>
        <w:pStyle w:val="ListBullet"/>
        <w:spacing w:after="80"/>
      </w:pPr>
      <w:r>
        <w:t>Engagement letters, retainer agreements, and fee arrangements.</w:t>
      </w:r>
    </w:p>
    <w:p>
      <w:pPr>
        <w:pStyle w:val="ListBullet"/>
        <w:spacing w:after="80"/>
      </w:pPr>
      <w:r>
        <w:t>Material non-public information.</w:t>
      </w:r>
    </w:p>
    <w:p>
      <w:pPr>
        <w:pStyle w:val="ListBullet"/>
        <w:spacing w:after="80"/>
      </w:pPr>
      <w:r>
        <w:t>Protected health information.</w:t>
      </w:r>
    </w:p>
    <w:p>
      <w:pPr>
        <w:pStyle w:val="ListBullet"/>
        <w:spacing w:after="80"/>
      </w:pPr>
      <w:r>
        <w:t>Anything covered by an NDA, a protective order, or a confidentiality provision.</w:t>
      </w:r>
    </w:p>
    <w:p>
      <w:pPr>
        <w:pStyle w:val="ListBullet"/>
        <w:spacing w:after="80"/>
      </w:pPr>
      <w:r>
        <w:t>Privileged communications and attorney work product.</w:t>
      </w:r>
    </w:p>
    <w:p>
      <w:pPr>
        <w:pStyle w:val="ListBullet"/>
        <w:spacing w:after="80"/>
      </w:pPr>
      <w:r>
        <w:t>Credentials of any kind: passwords, API keys, MFA codes, private keys, connection strings.</w:t>
      </w:r>
    </w:p>
    <w:p>
      <w:pPr>
        <w:pStyle w:val="ListBullet"/>
        <w:spacing w:after="80"/>
      </w:pPr>
      <w:r>
        <w:t>Personnel records, compensation data, performance reviews, and applicant information.</w:t>
      </w:r>
    </w:p>
    <w:p>
      <w:pPr>
        <w:pStyle w:val="ListBullet"/>
        <w:spacing w:after="80"/>
      </w:pPr>
      <w:r>
        <w:t>Source code, network diagrams, or configuration for firm or client systems. [Approved / Not approved for approved enterprise tools.]</w:t>
      </w:r>
    </w:p>
    <w:p>
      <w:r>
        <w:rPr>
          <w:b w:val="0"/>
          <w:i w:val="0"/>
        </w:rPr>
        <w:t>If you need AI help with a document that contains restricted data, use an approved enterprise tool where the firm controls the data, or strip the identifying detail first. Deleting the name is not enough when the remaining facts still identify the client.</w:t>
      </w:r>
    </w:p>
    <w:p>
      <w:pPr>
        <w:pStyle w:val="Heading1"/>
      </w:pPr>
      <w:r>
        <w:t>6. Personal accounts and unapproved tools</w:t>
      </w:r>
    </w:p>
    <w:p>
      <w:pPr>
        <w:pStyle w:val="ListBullet"/>
        <w:spacing w:after="80"/>
      </w:pPr>
      <w:r>
        <w:t>Do not register for an AI service using your [FIRM NAME] email address unless [POLICY OWNER] has approved it.</w:t>
      </w:r>
    </w:p>
    <w:p>
      <w:pPr>
        <w:pStyle w:val="ListBullet"/>
        <w:spacing w:after="80"/>
      </w:pPr>
      <w:r>
        <w:t>Do not use a personal AI account for firm work, including on your own device on your own time.</w:t>
      </w:r>
    </w:p>
    <w:p>
      <w:pPr>
        <w:pStyle w:val="ListBullet"/>
        <w:spacing w:after="80"/>
      </w:pPr>
      <w:r>
        <w:t>Do not install AI browser extensions, email assistants, or writing assistants on firm devices, or connect them to firm accounts.</w:t>
      </w:r>
    </w:p>
    <w:p>
      <w:pPr>
        <w:pStyle w:val="ListBullet"/>
        <w:spacing w:after="80"/>
      </w:pPr>
      <w:r>
        <w:t>Do not grant an AI tool access to firm email, calendar, files, or practice management through an OAuth consent prompt. If a screen asks you to allow an app to access your account, stop and ask [POLICY OWNER].</w:t>
      </w:r>
    </w:p>
    <w:p>
      <w:pPr>
        <w:pStyle w:val="ListBullet"/>
        <w:spacing w:after="80"/>
      </w:pPr>
      <w:r>
        <w:t>Do not add an AI note-taker or transcription bot to a meeting without approval and without telling every participant. A recorder in a client call is recording the client.</w:t>
      </w:r>
    </w:p>
    <w:p>
      <w:r>
        <w:rPr>
          <w:b/>
          <w:i w:val="0"/>
        </w:rPr>
        <w:t xml:space="preserve">Amnesty for existing signups. </w:t>
      </w:r>
      <w:r>
        <w:rPr>
          <w:b w:val="0"/>
          <w:i w:val="0"/>
        </w:rPr>
        <w:t>Within [30] days of the effective date, tell [POLICY OWNER] about any AI account you created with your firm email or used for firm work. There is no penalty for reporting one. After that window, an unreported account is a policy violation.</w:t>
      </w:r>
    </w:p>
    <w:p>
      <w:pPr>
        <w:pStyle w:val="Heading1"/>
      </w:pPr>
      <w:r>
        <w:t>7. Human review and accountability</w:t>
      </w:r>
    </w:p>
    <w:p>
      <w:pPr>
        <w:pStyle w:val="ListBullet"/>
        <w:spacing w:after="80"/>
      </w:pPr>
      <w:r>
        <w:t>Nothing produced with AI assistance goes to a client, a court, a regulator, a counterparty, or the public until a qualified person has reviewed it in full.</w:t>
      </w:r>
    </w:p>
    <w:p>
      <w:pPr>
        <w:pStyle w:val="ListBullet"/>
        <w:spacing w:after="80"/>
      </w:pPr>
      <w:r>
        <w:t>The person who signs or sends the work owns the work. That the AI produced it is not a defense and will not be treated as one.</w:t>
      </w:r>
    </w:p>
    <w:p>
      <w:pPr>
        <w:pStyle w:val="ListBullet"/>
        <w:spacing w:after="80"/>
      </w:pPr>
      <w:r>
        <w:t>Verify every fact, figure, citation, calculation, and quotation that came from an AI tool against a primary source. These tools produce confident, well-formatted, wrong answers, including citations to authorities that do not exist.</w:t>
      </w:r>
    </w:p>
    <w:p>
      <w:pPr>
        <w:pStyle w:val="ListBullet"/>
        <w:spacing w:after="80"/>
      </w:pPr>
      <w:r>
        <w:t>Do not let an AI tool be the sole basis for a decision affecting a person's employment, credit, insurance, housing, or legal rights.</w:t>
      </w:r>
    </w:p>
    <w:p>
      <w:pPr>
        <w:pStyle w:val="ListBullet"/>
        <w:spacing w:after="80"/>
      </w:pPr>
      <w:r>
        <w:t>Do not paste AI output into a filing or a deliverable without reading all of it. Skimming is not review.</w:t>
      </w:r>
    </w:p>
    <w:p>
      <w:pPr>
        <w:pStyle w:val="ListBullet"/>
        <w:spacing w:after="80"/>
      </w:pPr>
      <w:r>
        <w:t>[Optional] Note in the matter file when AI was used materially in preparing a work product.</w:t>
      </w:r>
    </w:p>
    <w:p>
      <w:pPr>
        <w:pStyle w:val="Heading1"/>
      </w:pPr>
      <w:r>
        <w:t>8. Client obligations and disclosure</w:t>
      </w:r>
    </w:p>
    <w:p>
      <w:pPr>
        <w:pStyle w:val="ListBullet"/>
        <w:spacing w:after="80"/>
      </w:pPr>
      <w:r>
        <w:t>Check the engagement letter and any information-security addendum before using AI on a client's work. Some clients prohibit it outright, and some require notice or written consent.</w:t>
      </w:r>
    </w:p>
    <w:p>
      <w:pPr>
        <w:pStyle w:val="ListBullet"/>
        <w:spacing w:after="80"/>
      </w:pPr>
      <w:r>
        <w:t>Where a client agreement, a protective order, or a regulator requires disclosure or consent, get it in writing before you start, not after.</w:t>
      </w:r>
    </w:p>
    <w:p>
      <w:pPr>
        <w:pStyle w:val="ListBullet"/>
        <w:spacing w:after="80"/>
      </w:pPr>
      <w:r>
        <w:t>Do not tell a client the firm does not use AI if it does. [FIRM NAME] will [respond to client questions about AI use / proactively disclose AI use] consistent with this policy.</w:t>
      </w:r>
    </w:p>
    <w:p>
      <w:pPr>
        <w:pStyle w:val="ListBullet"/>
        <w:spacing w:after="80"/>
      </w:pPr>
      <w:r>
        <w:t>Where AI use materially changes the time spent on a matter, bill for the time actually spent.</w:t>
      </w:r>
    </w:p>
    <w:p>
      <w:pPr>
        <w:pStyle w:val="Heading1"/>
      </w:pPr>
      <w:r>
        <w:t>9. Security requirements</w:t>
      </w:r>
    </w:p>
    <w:p>
      <w:pPr>
        <w:pStyle w:val="ListBullet"/>
        <w:spacing w:after="80"/>
      </w:pPr>
      <w:r>
        <w:t>MFA is required on every AI account used for firm business, using the firm's standard method.</w:t>
      </w:r>
    </w:p>
    <w:p>
      <w:pPr>
        <w:pStyle w:val="ListBullet"/>
        <w:spacing w:after="80"/>
      </w:pPr>
      <w:r>
        <w:t>Firm AI accounts are provisioned and removed by [IT PROVIDER] through the firm's identity system. Access ends the day employment or the engagement ends.</w:t>
      </w:r>
    </w:p>
    <w:p>
      <w:pPr>
        <w:pStyle w:val="ListBullet"/>
        <w:spacing w:after="80"/>
      </w:pPr>
      <w:r>
        <w:t>Never share an AI account login. One person, one account.</w:t>
      </w:r>
    </w:p>
    <w:p>
      <w:pPr>
        <w:pStyle w:val="ListBullet"/>
        <w:spacing w:after="80"/>
      </w:pPr>
      <w:r>
        <w:t>Where the tool supports it, training on firm inputs is turned off and retention is set to the shortest period the firm's needs allow. [IT PROVIDER] confirms these settings at setup and at each review.</w:t>
      </w:r>
    </w:p>
    <w:p>
      <w:pPr>
        <w:pStyle w:val="ListBullet"/>
        <w:spacing w:after="80"/>
      </w:pPr>
      <w:r>
        <w:t>Use approved AI tools from a firm-managed device, or from a personal device that meets [FIRM NAME]'s device requirements.</w:t>
      </w:r>
    </w:p>
    <w:p>
      <w:pPr>
        <w:pStyle w:val="ListBullet"/>
        <w:spacing w:after="80"/>
      </w:pPr>
      <w:r>
        <w:t>Chat histories, uploaded files, and AI-generated drafts are firm records. They are subject to the firm's retention schedule and to legal holds. Do not use an AI tool as a place to keep the only copy of anything.</w:t>
      </w:r>
    </w:p>
    <w:p>
      <w:pPr>
        <w:pStyle w:val="Heading1"/>
      </w:pPr>
      <w:r>
        <w:t>10. Reviewing a new AI tool</w:t>
      </w:r>
    </w:p>
    <w:p>
      <w:r>
        <w:rPr>
          <w:b w:val="0"/>
          <w:i w:val="0"/>
        </w:rPr>
        <w:t>Before a tool goes on the approved list, [POLICY OWNER] and [IT PROVIDER] confirm the following in writing. Use Appendix B to submit a request.</w:t>
      </w:r>
    </w:p>
    <w:p>
      <w:pPr>
        <w:pStyle w:val="ListNumber"/>
        <w:spacing w:after="80"/>
      </w:pPr>
      <w:r>
        <w:t>Who the vendor is, and where data is processed and stored.</w:t>
      </w:r>
    </w:p>
    <w:p>
      <w:pPr>
        <w:pStyle w:val="ListNumber"/>
        <w:spacing w:after="80"/>
      </w:pPr>
      <w:r>
        <w:t>Whether inputs are used to train models, and whether that can be turned off for our account.</w:t>
      </w:r>
    </w:p>
    <w:p>
      <w:pPr>
        <w:pStyle w:val="ListNumber"/>
        <w:spacing w:after="80"/>
      </w:pPr>
      <w:r>
        <w:t>How long inputs and outputs are retained, and whether deletion on request is supported.</w:t>
      </w:r>
    </w:p>
    <w:p>
      <w:pPr>
        <w:pStyle w:val="ListNumber"/>
        <w:spacing w:after="80"/>
      </w:pPr>
      <w:r>
        <w:t>Which sub-processors and underlying model providers are involved.</w:t>
      </w:r>
    </w:p>
    <w:p>
      <w:pPr>
        <w:pStyle w:val="ListNumber"/>
        <w:spacing w:after="80"/>
      </w:pPr>
      <w:r>
        <w:t>Whether single sign-on and MFA work with our identity provider.</w:t>
      </w:r>
    </w:p>
    <w:p>
      <w:pPr>
        <w:pStyle w:val="ListNumber"/>
        <w:spacing w:after="80"/>
      </w:pPr>
      <w:r>
        <w:t>Security posture: SOC 2 Type II or equivalent, encryption in transit and at rest, and breach notification terms.</w:t>
      </w:r>
    </w:p>
    <w:p>
      <w:pPr>
        <w:pStyle w:val="ListNumber"/>
        <w:spacing w:after="80"/>
      </w:pPr>
      <w:r>
        <w:t>Contract terms: confidentiality, data ownership, indemnity, and whether the vendor's standard terms conflict with our client agreements.</w:t>
      </w:r>
    </w:p>
    <w:p>
      <w:pPr>
        <w:pStyle w:val="ListNumber"/>
        <w:spacing w:after="80"/>
      </w:pPr>
      <w:r>
        <w:t>Whether the tool creates a regulatory or reporting obligation the firm does not already meet.</w:t>
      </w:r>
    </w:p>
    <w:p>
      <w:r>
        <w:rPr>
          <w:b w:val="0"/>
          <w:i w:val="0"/>
        </w:rPr>
        <w:t>A vendor that cannot answer items 1 through 4 clearly and in writing is not approved. Free tiers are almost never approvable, because the terms that make them free are usually the terms that make them unsafe for client data.</w:t>
      </w:r>
    </w:p>
    <w:p>
      <w:pPr>
        <w:pStyle w:val="Heading1"/>
      </w:pPr>
      <w:r>
        <w:t>11. Reporting a problem</w:t>
      </w:r>
    </w:p>
    <w:p>
      <w:r>
        <w:rPr>
          <w:b w:val="0"/>
          <w:i w:val="0"/>
        </w:rPr>
        <w:t>Report to [POLICY OWNER] and [IT PROVIDER] immediately, and no later than [24] hours, if you:</w:t>
      </w:r>
    </w:p>
    <w:p>
      <w:pPr>
        <w:pStyle w:val="ListBullet"/>
        <w:spacing w:after="80"/>
      </w:pPr>
      <w:r>
        <w:t>entered restricted data into any AI tool, approved or not;</w:t>
      </w:r>
    </w:p>
    <w:p>
      <w:pPr>
        <w:pStyle w:val="ListBullet"/>
        <w:spacing w:after="80"/>
      </w:pPr>
      <w:r>
        <w:t>sent AI output containing a material error to a client or a third party;</w:t>
      </w:r>
    </w:p>
    <w:p>
      <w:pPr>
        <w:pStyle w:val="ListBullet"/>
        <w:spacing w:after="80"/>
      </w:pPr>
      <w:r>
        <w:t>found an AI tool connected to firm email, files, or accounts that you did not expect;</w:t>
      </w:r>
    </w:p>
    <w:p>
      <w:pPr>
        <w:pStyle w:val="ListBullet"/>
        <w:spacing w:after="80"/>
      </w:pPr>
      <w:r>
        <w:t>approved an app consent prompt you are not sure about; or</w:t>
      </w:r>
    </w:p>
    <w:p>
      <w:pPr>
        <w:pStyle w:val="ListBullet"/>
        <w:spacing w:after="80"/>
      </w:pPr>
      <w:r>
        <w:t>received a message, voice call, or video that may be an AI-generated impersonation, especially one involving a payment or a credential request.</w:t>
      </w:r>
    </w:p>
    <w:p>
      <w:r>
        <w:rPr>
          <w:b/>
          <w:i w:val="0"/>
        </w:rPr>
        <w:t xml:space="preserve">Report first, work out the details afterward. </w:t>
      </w:r>
      <w:r>
        <w:rPr>
          <w:b w:val="0"/>
          <w:i w:val="0"/>
        </w:rPr>
        <w:t>A good-faith report will not result in discipline. Not reporting will. The firm can usually contain a mistake reported the same day and usually cannot contain one reported a month later.</w:t>
      </w:r>
    </w:p>
    <w:p>
      <w:r>
        <w:rPr>
          <w:b w:val="0"/>
          <w:i w:val="0"/>
        </w:rPr>
        <w:t>Reporting contacts: [EMAIL ADDRESS] and [PHONE NUMBER].</w:t>
      </w:r>
    </w:p>
    <w:p>
      <w:pPr>
        <w:pStyle w:val="Heading1"/>
      </w:pPr>
      <w:r>
        <w:t>12. Training and acknowledgment</w:t>
      </w:r>
    </w:p>
    <w:p>
      <w:r>
        <w:rPr>
          <w:b w:val="0"/>
          <w:i w:val="0"/>
        </w:rPr>
        <w:t>Everyone covered by this policy completes AI use training at onboarding and [annually] after that, and signs the acknowledgment in Appendix A. [POLICY OWNER] keeps the signed acknowledgments and the current approved-tools list, and reviews this policy at least once a year or whenever the firm adopts a significant new tool.</w:t>
      </w:r>
    </w:p>
    <w:p>
      <w:pPr>
        <w:pStyle w:val="Heading1"/>
      </w:pPr>
      <w:r>
        <w:t>13. Regulatory context</w:t>
      </w:r>
    </w:p>
    <w:p>
      <w:r>
        <w:rPr>
          <w:b w:val="0"/>
          <w:i/>
          <w:color w:val="4C6076"/>
          <w:sz w:val="20"/>
        </w:rPr>
        <w:t>The obligations below are the ones most often implicated when a New York firm uses AI. This list is not exhaustive, and not every item applies to every firm. Keep the ones that apply to your practice and delete the rest.</w:t>
      </w:r>
    </w:p>
    <w:p>
      <w:pPr>
        <w:pStyle w:val="ListBullet"/>
        <w:spacing w:after="80"/>
      </w:pPr>
      <w:r>
        <w:rPr>
          <w:b/>
        </w:rPr>
        <w:t xml:space="preserve">NY SHIELD Act (GBL 899-bb and 899-aa). </w:t>
      </w:r>
      <w:r>
        <w:t>Requires reasonable administrative, technical, and physical safeguards for the private information of New York residents, and notification after a breach. Sending private information to an unvetted AI vendor is hard to defend as a reasonable safeguard.</w:t>
      </w:r>
    </w:p>
    <w:p>
      <w:pPr>
        <w:pStyle w:val="ListBullet"/>
        <w:spacing w:after="80"/>
      </w:pPr>
      <w:r>
        <w:rPr>
          <w:b/>
        </w:rPr>
        <w:t xml:space="preserve">NYDFS Part 500. </w:t>
      </w:r>
      <w:r>
        <w:t>For DFS-covered entities: third-party service provider policy, MFA, access controls, risk assessment, and 72-hour incident reporting. DFS issued guidance in October 2024 specifically on AI-related cybersecurity risk, including deepfake-enabled social engineering.</w:t>
      </w:r>
    </w:p>
    <w:p>
      <w:pPr>
        <w:pStyle w:val="ListBullet"/>
        <w:spacing w:after="80"/>
      </w:pPr>
      <w:r>
        <w:rPr>
          <w:b/>
        </w:rPr>
        <w:t xml:space="preserve">SEC Regulation S-P. </w:t>
      </w:r>
      <w:r>
        <w:t>For registered investment advisers, broker-dealers, and funds: safeguarding customer records and information, plus the 2024 amendments adding a customer notification requirement.</w:t>
      </w:r>
    </w:p>
    <w:p>
      <w:pPr>
        <w:pStyle w:val="ListBullet"/>
        <w:spacing w:after="80"/>
      </w:pPr>
      <w:r>
        <w:rPr>
          <w:b/>
        </w:rPr>
        <w:t xml:space="preserve">IRC Section 7216 and Treas. Reg. 301.7216. </w:t>
      </w:r>
      <w:r>
        <w:t>For tax return preparers: criminal penalties for disclosing or using taxpayer return information without the taxpayer's consent. Pasting a return into a third-party AI service is a disclosure.</w:t>
      </w:r>
    </w:p>
    <w:p>
      <w:pPr>
        <w:pStyle w:val="ListBullet"/>
        <w:spacing w:after="80"/>
      </w:pPr>
      <w:r>
        <w:rPr>
          <w:b/>
        </w:rPr>
        <w:t xml:space="preserve">Gramm-Leach-Bliley Act and the FTC Safeguards Rule. </w:t>
      </w:r>
      <w:r>
        <w:t>Applies to firms that meet the definition of a financial institution, which includes many tax preparers and accounting firms. Requires a written security program and vendor oversight.</w:t>
      </w:r>
    </w:p>
    <w:p>
      <w:pPr>
        <w:pStyle w:val="ListBullet"/>
        <w:spacing w:after="80"/>
      </w:pPr>
      <w:r>
        <w:rPr>
          <w:b/>
        </w:rPr>
        <w:t xml:space="preserve">ABA Model Rules 1.1, 1.5, 1.6, 5.1, and 5.3. </w:t>
      </w:r>
      <w:r>
        <w:t>Competence including technological competence, reasonable fees, confidentiality, and supervision of lawyers and non-lawyer assistance. See ABA Formal Opinion 512 (July 2024) on generative AI. New York attorneys should also review NYSBA and New York City Bar guidance and the New York Rules of Professional Conduct.</w:t>
      </w:r>
    </w:p>
    <w:p>
      <w:pPr>
        <w:pStyle w:val="ListBullet"/>
        <w:spacing w:after="80"/>
      </w:pPr>
      <w:r>
        <w:rPr>
          <w:b/>
        </w:rPr>
        <w:t xml:space="preserve">NYC Local Law 144. </w:t>
      </w:r>
      <w:r>
        <w:t>Bias audit, public reporting, and candidate notice requirements for automated employment decision tools used in hiring or promotion for positions in New York City.</w:t>
      </w:r>
    </w:p>
    <w:p>
      <w:pPr>
        <w:pStyle w:val="ListBullet"/>
        <w:spacing w:after="80"/>
      </w:pPr>
      <w:r>
        <w:rPr>
          <w:b/>
        </w:rPr>
        <w:t xml:space="preserve">HIPAA. </w:t>
      </w:r>
      <w:r>
        <w:t>Where the firm is a covered entity or a business associate, a business associate agreement is required before protected health information reaches any AI vendor.</w:t>
      </w:r>
    </w:p>
    <w:p>
      <w:pPr>
        <w:pStyle w:val="ListBullet"/>
        <w:spacing w:after="80"/>
      </w:pPr>
      <w:r>
        <w:rPr>
          <w:b/>
        </w:rPr>
        <w:t xml:space="preserve">Court rules and standing orders. </w:t>
      </w:r>
      <w:r>
        <w:t>Several courts require disclosure or certification regarding generative AI in filings. Check the rules of each court before filing.</w:t>
      </w:r>
    </w:p>
    <w:p>
      <w:pPr>
        <w:pStyle w:val="ListBullet"/>
        <w:spacing w:after="80"/>
      </w:pPr>
      <w:r>
        <w:rPr>
          <w:b/>
        </w:rPr>
        <w:t xml:space="preserve">Client contracts. </w:t>
      </w:r>
      <w:r>
        <w:t>Frequently stricter than any of the above, and the obligation most often missed.</w:t>
      </w:r>
    </w:p>
    <w:p>
      <w:r>
        <w:rPr>
          <w:b w:val="0"/>
          <w:i/>
          <w:color w:val="4C6076"/>
          <w:sz w:val="20"/>
        </w:rPr>
        <w:t>This section is general information, not legal advice. Confirm what applies to your firm with counsel.</w:t>
      </w:r>
    </w:p>
    <w:p>
      <w:pPr>
        <w:pStyle w:val="Heading1"/>
      </w:pPr>
      <w:r>
        <w:t>14. Enforcement</w:t>
      </w:r>
    </w:p>
    <w:p>
      <w:r>
        <w:rPr>
          <w:b w:val="0"/>
          <w:i w:val="0"/>
        </w:rPr>
        <w:t>Violating this policy may result in discipline up to and including termination of employment, and may be reported where a legal, regulatory, or professional obligation requires it. Contractors and temporary staff who violate this policy may have their engagement ended. Questions about whether something is allowed go to [POLICY OWNER] before you do it, not after.</w:t>
      </w:r>
    </w:p>
    <w:p>
      <w:r>
        <w:br w:type="page"/>
      </w:r>
    </w:p>
    <w:p>
      <w:pPr>
        <w:pStyle w:val="Heading1"/>
      </w:pPr>
      <w:r>
        <w:t>Appendix A. Employee acknowledgment</w:t>
      </w:r>
    </w:p>
    <w:p>
      <w:r>
        <w:rPr>
          <w:b w:val="0"/>
          <w:i w:val="0"/>
        </w:rPr>
        <w:t>I have read and understand the [FIRM NAME] AI Acceptable Use Policy dated [DATE]. I understand which AI tools are approved, what information I may not enter into an AI tool, and that I am responsible for reviewing and verifying any work product I produce with AI assistance. I understand that I must report a suspected problem to [POLICY OWNER] within [24] hours. I understand that violating this policy may result in discipline up to and including termination.</w:t>
      </w:r>
    </w:p>
    <w:p>
      <w:pPr>
        <w:spacing w:after="200"/>
      </w:pPr>
    </w:p>
    <w:tbl>
      <w:tblPr>
        <w:tblStyle w:val="TableGrid"/>
        <w:tblW w:type="auto" w:w="0"/>
        <w:tblLook w:firstColumn="1" w:firstRow="1" w:lastColumn="0" w:lastRow="0" w:noHBand="0" w:noVBand="1" w:val="04A0"/>
      </w:tblPr>
      <w:tblGrid>
        <w:gridCol w:w="2160"/>
        <w:gridCol w:w="7200"/>
      </w:tblGrid>
      <w:tr>
        <w:tc>
          <w:tcPr>
            <w:tcW w:type="dxa" w:w="4680"/>
            <w:shd w:val="clear" w:fill="F2F6FA"/>
          </w:tcPr>
          <w:p>
            <w:r/>
            <w:r>
              <w:rPr>
                <w:b/>
                <w:sz w:val="20"/>
              </w:rPr>
              <w:t>Name (print)</w:t>
            </w:r>
          </w:p>
        </w:tc>
        <w:tc>
          <w:tcPr>
            <w:tcW w:type="dxa" w:w="4680"/>
          </w:tcPr>
          <w:p>
            <w:pPr>
              <w:spacing w:after="200"/>
            </w:pPr>
            <w:r/>
          </w:p>
        </w:tc>
      </w:tr>
      <w:tr>
        <w:tc>
          <w:tcPr>
            <w:tcW w:type="dxa" w:w="4680"/>
            <w:shd w:val="clear" w:fill="F2F6FA"/>
          </w:tcPr>
          <w:p>
            <w:r/>
            <w:r>
              <w:rPr>
                <w:b/>
                <w:sz w:val="20"/>
              </w:rPr>
              <w:t>Title</w:t>
            </w:r>
          </w:p>
        </w:tc>
        <w:tc>
          <w:tcPr>
            <w:tcW w:type="dxa" w:w="4680"/>
          </w:tcPr>
          <w:p>
            <w:pPr>
              <w:spacing w:after="200"/>
            </w:pPr>
            <w:r/>
          </w:p>
        </w:tc>
      </w:tr>
      <w:tr>
        <w:tc>
          <w:tcPr>
            <w:tcW w:type="dxa" w:w="4680"/>
            <w:shd w:val="clear" w:fill="F2F6FA"/>
          </w:tcPr>
          <w:p>
            <w:r/>
            <w:r>
              <w:rPr>
                <w:b/>
                <w:sz w:val="20"/>
              </w:rPr>
              <w:t>Signature</w:t>
            </w:r>
          </w:p>
        </w:tc>
        <w:tc>
          <w:tcPr>
            <w:tcW w:type="dxa" w:w="4680"/>
          </w:tcPr>
          <w:p>
            <w:pPr>
              <w:spacing w:after="200"/>
            </w:pPr>
            <w:r/>
          </w:p>
        </w:tc>
      </w:tr>
      <w:tr>
        <w:tc>
          <w:tcPr>
            <w:tcW w:type="dxa" w:w="4680"/>
            <w:shd w:val="clear" w:fill="F2F6FA"/>
          </w:tcPr>
          <w:p>
            <w:r/>
            <w:r>
              <w:rPr>
                <w:b/>
                <w:sz w:val="20"/>
              </w:rPr>
              <w:t>Date</w:t>
            </w:r>
          </w:p>
        </w:tc>
        <w:tc>
          <w:tcPr>
            <w:tcW w:type="dxa" w:w="4680"/>
          </w:tcPr>
          <w:p>
            <w:pPr>
              <w:spacing w:after="200"/>
            </w:pPr>
            <w:r/>
          </w:p>
        </w:tc>
      </w:tr>
    </w:tbl>
    <w:p>
      <w:pPr>
        <w:spacing w:after="280"/>
      </w:pPr>
    </w:p>
    <w:p>
      <w:pPr>
        <w:pStyle w:val="Heading1"/>
      </w:pPr>
      <w:r>
        <w:t>Appendix B. Request to approve a new AI tool</w:t>
      </w:r>
    </w:p>
    <w:p>
      <w:r>
        <w:rPr>
          <w:b w:val="0"/>
          <w:i w:val="0"/>
        </w:rPr>
        <w:t>Submit this to [POLICY OWNER] before using a tool that is not on the approved list in Section 4.</w:t>
      </w:r>
    </w:p>
    <w:tbl>
      <w:tblPr>
        <w:tblStyle w:val="TableGrid"/>
        <w:tblW w:type="auto" w:w="0"/>
        <w:tblLook w:firstColumn="1" w:firstRow="1" w:lastColumn="0" w:lastRow="0" w:noHBand="0" w:noVBand="1" w:val="04A0"/>
      </w:tblPr>
      <w:tblGrid>
        <w:gridCol w:w="3456"/>
        <w:gridCol w:w="5904"/>
      </w:tblGrid>
      <w:tr>
        <w:tc>
          <w:tcPr>
            <w:tcW w:type="dxa" w:w="4680"/>
            <w:shd w:val="clear" w:fill="F2F6FA"/>
          </w:tcPr>
          <w:p>
            <w:r/>
            <w:r>
              <w:rPr>
                <w:b/>
                <w:sz w:val="20"/>
              </w:rPr>
              <w:t>Requested by</w:t>
            </w:r>
          </w:p>
        </w:tc>
        <w:tc>
          <w:tcPr>
            <w:tcW w:type="dxa" w:w="4680"/>
          </w:tcPr>
          <w:p>
            <w:pPr>
              <w:spacing w:after="160"/>
            </w:pPr>
            <w:r/>
          </w:p>
        </w:tc>
      </w:tr>
      <w:tr>
        <w:tc>
          <w:tcPr>
            <w:tcW w:type="dxa" w:w="4680"/>
            <w:shd w:val="clear" w:fill="F2F6FA"/>
          </w:tcPr>
          <w:p>
            <w:r/>
            <w:r>
              <w:rPr>
                <w:b/>
                <w:sz w:val="20"/>
              </w:rPr>
              <w:t>Tool name and vendor website</w:t>
            </w:r>
          </w:p>
        </w:tc>
        <w:tc>
          <w:tcPr>
            <w:tcW w:type="dxa" w:w="4680"/>
          </w:tcPr>
          <w:p>
            <w:pPr>
              <w:spacing w:after="160"/>
            </w:pPr>
            <w:r/>
          </w:p>
        </w:tc>
      </w:tr>
      <w:tr>
        <w:tc>
          <w:tcPr>
            <w:tcW w:type="dxa" w:w="4680"/>
            <w:shd w:val="clear" w:fill="F2F6FA"/>
          </w:tcPr>
          <w:p>
            <w:r/>
            <w:r>
              <w:rPr>
                <w:b/>
                <w:sz w:val="20"/>
              </w:rPr>
              <w:t>What you want to use it for</w:t>
            </w:r>
          </w:p>
        </w:tc>
        <w:tc>
          <w:tcPr>
            <w:tcW w:type="dxa" w:w="4680"/>
          </w:tcPr>
          <w:p>
            <w:pPr>
              <w:spacing w:after="160"/>
            </w:pPr>
            <w:r/>
          </w:p>
        </w:tc>
      </w:tr>
      <w:tr>
        <w:tc>
          <w:tcPr>
            <w:tcW w:type="dxa" w:w="4680"/>
            <w:shd w:val="clear" w:fill="F2F6FA"/>
          </w:tcPr>
          <w:p>
            <w:r/>
            <w:r>
              <w:rPr>
                <w:b/>
                <w:sz w:val="20"/>
              </w:rPr>
              <w:t>What firm or client data it would touch</w:t>
            </w:r>
          </w:p>
        </w:tc>
        <w:tc>
          <w:tcPr>
            <w:tcW w:type="dxa" w:w="4680"/>
          </w:tcPr>
          <w:p>
            <w:pPr>
              <w:spacing w:after="160"/>
            </w:pPr>
            <w:r/>
          </w:p>
        </w:tc>
      </w:tr>
      <w:tr>
        <w:tc>
          <w:tcPr>
            <w:tcW w:type="dxa" w:w="4680"/>
            <w:shd w:val="clear" w:fill="F2F6FA"/>
          </w:tcPr>
          <w:p>
            <w:r/>
            <w:r>
              <w:rPr>
                <w:b/>
                <w:sz w:val="20"/>
              </w:rPr>
              <w:t>Cost and license type</w:t>
            </w:r>
          </w:p>
        </w:tc>
        <w:tc>
          <w:tcPr>
            <w:tcW w:type="dxa" w:w="4680"/>
          </w:tcPr>
          <w:p>
            <w:pPr>
              <w:spacing w:after="160"/>
            </w:pPr>
            <w:r/>
          </w:p>
        </w:tc>
      </w:tr>
      <w:tr>
        <w:tc>
          <w:tcPr>
            <w:tcW w:type="dxa" w:w="4680"/>
            <w:shd w:val="clear" w:fill="F2F6FA"/>
          </w:tcPr>
          <w:p>
            <w:r/>
            <w:r>
              <w:rPr>
                <w:b/>
                <w:sz w:val="20"/>
              </w:rPr>
              <w:t>Is there an approved tool that already does this?</w:t>
            </w:r>
          </w:p>
        </w:tc>
        <w:tc>
          <w:tcPr>
            <w:tcW w:type="dxa" w:w="4680"/>
          </w:tcPr>
          <w:p>
            <w:pPr>
              <w:spacing w:after="160"/>
            </w:pPr>
            <w:r/>
          </w:p>
        </w:tc>
      </w:tr>
      <w:tr>
        <w:tc>
          <w:tcPr>
            <w:tcW w:type="dxa" w:w="4680"/>
            <w:shd w:val="clear" w:fill="F2F6FA"/>
          </w:tcPr>
          <w:p>
            <w:r/>
            <w:r>
              <w:rPr>
                <w:b/>
                <w:sz w:val="20"/>
              </w:rPr>
              <w:t>Date requested</w:t>
            </w:r>
          </w:p>
        </w:tc>
        <w:tc>
          <w:tcPr>
            <w:tcW w:type="dxa" w:w="4680"/>
          </w:tcPr>
          <w:p>
            <w:pPr>
              <w:spacing w:after="160"/>
            </w:pPr>
            <w:r/>
          </w:p>
        </w:tc>
      </w:tr>
    </w:tbl>
    <w:p>
      <w:pPr>
        <w:spacing w:after="160"/>
      </w:pPr>
    </w:p>
    <w:p>
      <w:pPr>
        <w:spacing w:after="80"/>
      </w:pPr>
      <w:r>
        <w:rPr>
          <w:b/>
          <w:i w:val="0"/>
        </w:rPr>
        <w:t>Decision (completed by [POLICY OWNER])</w:t>
      </w:r>
    </w:p>
    <w:tbl>
      <w:tblPr>
        <w:tblStyle w:val="TableGrid"/>
        <w:tblW w:type="auto" w:w="0"/>
        <w:tblLook w:firstColumn="1" w:firstRow="1" w:lastColumn="0" w:lastRow="0" w:noHBand="0" w:noVBand="1" w:val="04A0"/>
      </w:tblPr>
      <w:tblGrid>
        <w:gridCol w:w="2592"/>
        <w:gridCol w:w="6768"/>
      </w:tblGrid>
      <w:tr>
        <w:tc>
          <w:tcPr>
            <w:tcW w:type="dxa" w:w="4680"/>
            <w:shd w:val="clear" w:fill="F2F6FA"/>
          </w:tcPr>
          <w:p>
            <w:r/>
            <w:r>
              <w:rPr>
                <w:b/>
                <w:sz w:val="20"/>
              </w:rPr>
              <w:t>Decision</w:t>
            </w:r>
          </w:p>
        </w:tc>
        <w:tc>
          <w:tcPr>
            <w:tcW w:type="dxa" w:w="4680"/>
          </w:tcPr>
          <w:p>
            <w:pPr>
              <w:spacing w:after="160"/>
            </w:pPr>
            <w:r/>
            <w:r>
              <w:rPr>
                <w:sz w:val="20"/>
              </w:rPr>
              <w:t>Approved   /   Approved with conditions   /   Not approved</w:t>
            </w:r>
          </w:p>
        </w:tc>
      </w:tr>
      <w:tr>
        <w:tc>
          <w:tcPr>
            <w:tcW w:type="dxa" w:w="4680"/>
            <w:shd w:val="clear" w:fill="F2F6FA"/>
          </w:tcPr>
          <w:p>
            <w:r/>
            <w:r>
              <w:rPr>
                <w:b/>
                <w:sz w:val="20"/>
              </w:rPr>
              <w:t>Conditions or reason</w:t>
            </w:r>
          </w:p>
        </w:tc>
        <w:tc>
          <w:tcPr>
            <w:tcW w:type="dxa" w:w="4680"/>
          </w:tcPr>
          <w:p>
            <w:pPr>
              <w:spacing w:after="160"/>
            </w:pPr>
            <w:r/>
          </w:p>
        </w:tc>
      </w:tr>
      <w:tr>
        <w:tc>
          <w:tcPr>
            <w:tcW w:type="dxa" w:w="4680"/>
            <w:shd w:val="clear" w:fill="F2F6FA"/>
          </w:tcPr>
          <w:p>
            <w:r/>
            <w:r>
              <w:rPr>
                <w:b/>
                <w:sz w:val="20"/>
              </w:rPr>
              <w:t>Reviewed by</w:t>
            </w:r>
          </w:p>
        </w:tc>
        <w:tc>
          <w:tcPr>
            <w:tcW w:type="dxa" w:w="4680"/>
          </w:tcPr>
          <w:p>
            <w:pPr>
              <w:spacing w:after="160"/>
            </w:pPr>
            <w:r/>
          </w:p>
        </w:tc>
      </w:tr>
      <w:tr>
        <w:tc>
          <w:tcPr>
            <w:tcW w:type="dxa" w:w="4680"/>
            <w:shd w:val="clear" w:fill="F2F6FA"/>
          </w:tcPr>
          <w:p>
            <w:r/>
            <w:r>
              <w:rPr>
                <w:b/>
                <w:sz w:val="20"/>
              </w:rPr>
              <w:t>Date</w:t>
            </w:r>
          </w:p>
        </w:tc>
        <w:tc>
          <w:tcPr>
            <w:tcW w:type="dxa" w:w="4680"/>
          </w:tcPr>
          <w:p>
            <w:pPr>
              <w:spacing w:after="160"/>
            </w:pPr>
            <w:r/>
          </w:p>
        </w:tc>
      </w:tr>
    </w:tbl>
    <w:p>
      <w:pPr>
        <w:spacing w:after="280"/>
      </w:pPr>
    </w:p>
    <w:p>
      <w:pPr>
        <w:spacing w:after="40"/>
        <w:pBdr>
          <w:bottom w:val="single" w:sz="6" w:space="1" w:color="DDE5EE"/>
        </w:pBdr>
      </w:pPr>
    </w:p>
    <w:p>
      <w:pPr>
        <w:spacing w:after="40"/>
      </w:pPr>
      <w:r>
        <w:rPr>
          <w:b w:val="0"/>
          <w:i w:val="0"/>
          <w:color w:val="4C6076"/>
          <w:sz w:val="18"/>
        </w:rPr>
        <w:t>Template provided by AI Help NYC, a service of TeamLogic IT FiDi, New York, NY.  aihelpnyc.com  |  bkupsch@teamlogicitfidinyc.com</w:t>
      </w:r>
    </w:p>
    <w:p>
      <w:r>
        <w:rPr>
          <w:b w:val="0"/>
          <w:i/>
          <w:color w:val="4C6076"/>
          <w:sz w:val="18"/>
        </w:rPr>
        <w:t>You are free to edit this document and use it inside your organization. It is general information, not legal advice.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59"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Calibri" w:hAnsi="Calibri"/>
      <w:b/>
      <w:bCs/>
      <w:i w:val="0"/>
      <w:color w:val="008851"/>
      <w:sz w:val="30"/>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Calibri" w:hAnsi="Calibri"/>
      <w:b/>
      <w:bCs/>
      <w:i w:val="0"/>
      <w:color w:val="10243A"/>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Acceptable Use Policy Template</dc:title>
  <dc:subject>Editable AI acceptable use policy for professional firms</dc:subject>
  <dc:creator>TeamLogic IT FiDi</dc:creator>
  <cp:keywords/>
  <dc:description>Free editable template from aihelpnyc.com. General information, not legal advice.</dc:description>
  <cp:lastModifiedBy/>
  <cp:revision>1</cp:revision>
  <dcterms:created xsi:type="dcterms:W3CDTF">2013-12-23T23:15:00Z</dcterms:created>
  <dcterms:modified xsi:type="dcterms:W3CDTF">2013-12-23T23:15:00Z</dcterms:modified>
  <cp:category>Policy template</cp:category>
</cp:coreProperties>
</file>